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KI-Nutzungsrichtlinie</w:t>
            </w:r>
          </w:p>
          <w:p>
            <w:r>
              <w:rPr>
                <w:rFonts w:ascii="Arial" w:cs="Arial" w:eastAsia="Arial" w:hAnsi="Arial"/>
                <w:color w:val="B3C6E7"/>
                <w:sz w:val="22"/>
                <w:szCs w:val="22"/>
              </w:rPr>
              <w:t xml:space="preserve">Verbindliche Regelung für den Einsatz von KI-Tools im Unternehmen</w:t>
            </w:r>
          </w:p>
        </w:tc>
      </w:tr>
    </w:tbl>
    <w:p>
      <w:pPr>
        <w:spacing w:before="2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Unternehmen</w:t>
            </w:r>
          </w:p>
        </w:tc>
        <w:tc>
          <w:tcPr>
            <w:tcW w:type="dxa" w:w="72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Gültig ab</w:t>
            </w:r>
          </w:p>
        </w:tc>
        <w:tc>
          <w:tcPr>
            <w:tcW w:type="dxa" w:w="72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Version</w:t>
            </w:r>
          </w:p>
        </w:tc>
        <w:tc>
          <w:tcPr>
            <w:tcW w:type="dxa" w:w="72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72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Nächste Überprüfung</w:t>
            </w:r>
          </w:p>
        </w:tc>
        <w:tc>
          <w:tcPr>
            <w:tcW w:type="dxa" w:w="72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1F3864" w:sz="6" w:space="4"/>
        </w:pBdr>
        <w:spacing w:after="100" w:before="28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1. Geltungsbereich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Diese Richtlinie gilt für alle Mitarbeitenden, die im Rahmen ihrer Tätigkeit KI-basierte Tools einsetzen. Sie regelt den verantwortungsvollen Umgang und legt Grenzen sowie Verantwortlichkeiten fest.</w:t>
      </w:r>
    </w:p>
    <w:p>
      <w:pPr>
        <w:pBdr>
          <w:bottom w:val="single" w:color="1F3864" w:sz="6" w:space="4"/>
        </w:pBdr>
        <w:spacing w:after="100" w:before="28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2. Freigegebene KI-Tools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Tool 1: </w:t>
      </w:r>
      <w:r>
        <w:rPr>
          <w:rFonts w:ascii="Arial" w:cs="Arial" w:eastAsia="Arial" w:hAnsi="Arial"/>
          <w:i/>
          <w:iCs/>
          <w:color w:val="0070C0"/>
          <w:sz w:val="22"/>
          <w:szCs w:val="22"/>
        </w:rPr>
        <w:t xml:space="preserve">[Name, URL, Einsatzbereich]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Tool 2: </w:t>
      </w:r>
      <w:r>
        <w:rPr>
          <w:rFonts w:ascii="Arial" w:cs="Arial" w:eastAsia="Arial" w:hAnsi="Arial"/>
          <w:i/>
          <w:iCs/>
          <w:color w:val="0070C0"/>
          <w:sz w:val="22"/>
          <w:szCs w:val="22"/>
        </w:rPr>
        <w:t xml:space="preserve">[Name, URL, Einsatzbereich]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Tool 3: </w:t>
      </w:r>
      <w:r>
        <w:rPr>
          <w:rFonts w:ascii="Arial" w:cs="Arial" w:eastAsia="Arial" w:hAnsi="Arial"/>
          <w:i/>
          <w:iCs/>
          <w:color w:val="0070C0"/>
          <w:sz w:val="22"/>
          <w:szCs w:val="22"/>
        </w:rPr>
        <w:t xml:space="preserve">[Name, URL, Einsatzbereich]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Weitere Tools bedürfen der Freigabe durch [Zuständige Person / IT / Vorgesetzte].</w:t>
      </w:r>
    </w:p>
    <w:p>
      <w:pPr>
        <w:pBdr>
          <w:bottom w:val="single" w:color="1F3864" w:sz="6" w:space="4"/>
        </w:pBdr>
        <w:spacing w:after="100" w:before="28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3. Was NICHT eingegeben werden darf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Folgende Informationen dürfen niemals in KI-Systeme eingegeben werden: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038"/>
      </w:tblGrid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9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Personenbezogene Daten (Namen, Adressen, Geburtsdaten, Krankenakten)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9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Vertragliche Inhalte und Vereinbarungen mit Kunden oder Partnern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9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Interne Finanzdaten, Budgets, Kalkulationen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9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Geschäftsgeheimnisse und proprietäre Informationen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9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Zugangsdaten, Passwörter, Tokens, API-Keys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9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Inhalte aus laufenden rechtlichen Verfahren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9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Mitarbeiterdaten ohne ausdrückliche Einwilligung</w:t>
            </w:r>
          </w:p>
        </w:tc>
      </w:tr>
    </w:tbl>
    <w:p>
      <w:pPr>
        <w:pBdr>
          <w:bottom w:val="single" w:color="1F3864" w:sz="6" w:space="4"/>
        </w:pBdr>
        <w:spacing w:after="100" w:before="28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4. Verantwortungsvoller Einsatz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Alle KI-Outputs sind Entwürfe. Mitarbeitende sind verpflichtet: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038"/>
      </w:tblGrid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9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Ergebnisse inhaltlich zu prüfen, bevor sie weitergeleitet werden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9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Fakten und rechtliche Aussagen gegenzuchecken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9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Bei Unsicherheit Rücksprache mit Vorgesetzten zu halten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9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Fehler oder Probleme zu melden (an: [Kontakt eintragen])</w:t>
            </w:r>
          </w:p>
        </w:tc>
      </w:tr>
    </w:tbl>
    <w:p>
      <w:pPr>
        <w:pBdr>
          <w:bottom w:val="single" w:color="1F3864" w:sz="6" w:space="4"/>
        </w:pBdr>
        <w:spacing w:after="100" w:before="28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5. EU AI Act — Artikel 4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Gemäß Art. 4 EU AI Act sind Unternehmen verpflichtet sicherzustellen, dass Mitarbeitende über ausreichende KI-Kompetenz verfügen. Diese Richtlinie ist Teil dieser Maßnahme.</w:t>
      </w:r>
    </w:p>
    <w:p>
      <w:pPr>
        <w:pBdr>
          <w:bottom w:val="single" w:color="1F3864" w:sz="6" w:space="4"/>
        </w:pBdr>
        <w:spacing w:after="100" w:before="28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6. Bestätigung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Ich habe diese Richtlinie gelesen und verpflichte mich zur Einhaltung.</w:t>
      </w:r>
    </w:p>
    <w:p>
      <w:pPr>
        <w:spacing w:before="2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 w:color="FFFFFF" w:sz="0"/>
              <w:left w:val="none" w:color="FFFFFF" w:sz="0"/>
              <w:bottom w:val="single" w:color="1A1A1A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36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Name, Vorname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719"/>
            <w:tcBorders>
              <w:top w:val="none" w:color="FFFFFF" w:sz="0"/>
              <w:left w:val="none" w:color="FFFFFF" w:sz="0"/>
              <w:bottom w:val="single" w:color="1A1A1A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36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Datum, Unterschrift</w:t>
            </w:r>
          </w:p>
        </w:tc>
      </w:tr>
    </w:tbl>
    <w:p>
      <w:pPr>
        <w:spacing w:before="240"/>
      </w:pPr>
    </w:p>
    <w:p>
      <w:pPr>
        <w:spacing w:after="60" w:before="6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Frei verwendbar und anpassbar. Aus: KI für Führungskräfte — Mirko Weiße · ki-fuehrung.blendenzeit.de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2026-05-21T16:42:28.325Z</dcterms:created>
  <dcterms:modified xsi:type="dcterms:W3CDTF">2026-05-21T16:42:28.326Z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